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B4224">
      <w:pPr>
        <w:spacing w:before="120" w:after="120"/>
        <w:rPr>
          <w:rFonts w:ascii="Times New Roman" w:hAnsi="Times New Roman"/>
          <w:color w:val="FB0006"/>
        </w:rPr>
      </w:pPr>
      <w:bookmarkStart w:id="0" w:name="_GoBack"/>
      <w:bookmarkEnd w:id="0"/>
      <w:r>
        <w:rPr>
          <w:rFonts w:ascii="Times New Roman" w:hAnsi="Times New Roman"/>
          <w:color w:val="FB0006"/>
        </w:rPr>
        <w:t>ON SIERRA CLUB LETTERHEAD</w:t>
      </w:r>
    </w:p>
    <w:p w:rsidR="00000000" w:rsidRDefault="008B4224">
      <w:pPr>
        <w:spacing w:before="120" w:after="120"/>
        <w:rPr>
          <w:rFonts w:ascii="Times New Roman" w:hAnsi="Times New Roman"/>
          <w:color w:val="FB0006"/>
        </w:rPr>
      </w:pPr>
      <w:r>
        <w:rPr>
          <w:rFonts w:ascii="Times New Roman" w:hAnsi="Times New Roman"/>
          <w:color w:val="FB0006"/>
        </w:rPr>
        <w:t>DATE</w:t>
      </w:r>
    </w:p>
    <w:p w:rsidR="00000000" w:rsidRDefault="008B4224">
      <w:pPr>
        <w:spacing w:before="120" w:after="120"/>
        <w:rPr>
          <w:rFonts w:ascii="Times New Roman" w:hAnsi="Times New Roman"/>
        </w:rPr>
      </w:pPr>
      <w:r>
        <w:rPr>
          <w:rFonts w:ascii="Times New Roman Bold" w:hAnsi="Times New Roman Bold"/>
        </w:rPr>
        <w:t>Chair Leopold and Commissioners</w:t>
      </w:r>
      <w:r>
        <w:rPr>
          <w:rFonts w:ascii="Times New Roman Bold" w:hAnsi="Times New Roman Bold"/>
        </w:rPr>
        <w:cr/>
      </w:r>
      <w:r>
        <w:rPr>
          <w:rFonts w:ascii="Times New Roman" w:hAnsi="Times New Roman"/>
        </w:rPr>
        <w:t>Santa Cruz County Regional Transportation Commission</w:t>
      </w:r>
      <w:r>
        <w:rPr>
          <w:rFonts w:ascii="Times New Roman" w:hAnsi="Times New Roman"/>
        </w:rPr>
        <w:cr/>
        <w:t>1523 Pacific Avenue</w:t>
      </w:r>
      <w:r>
        <w:rPr>
          <w:rFonts w:ascii="Times New Roman" w:hAnsi="Times New Roman"/>
        </w:rPr>
        <w:cr/>
        <w:t xml:space="preserve">Santa Cruz, CA  95060 </w:t>
      </w:r>
    </w:p>
    <w:p w:rsidR="00000000" w:rsidRDefault="008B4224">
      <w:pPr>
        <w:spacing w:before="120" w:after="120"/>
        <w:rPr>
          <w:rFonts w:ascii="Times New Roman Bold" w:hAnsi="Times New Roman Bold"/>
        </w:rPr>
      </w:pPr>
      <w:r>
        <w:rPr>
          <w:rFonts w:ascii="Times New Roman Bold" w:hAnsi="Times New Roman Bold"/>
        </w:rPr>
        <w:t>Re:  Local Group of the Sierra Club supports an amended UCS Scenario B</w:t>
      </w:r>
    </w:p>
    <w:p w:rsidR="00000000" w:rsidRDefault="008B4224">
      <w:pPr>
        <w:spacing w:before="120" w:after="120"/>
        <w:rPr>
          <w:rFonts w:ascii="Times New Roman Bold" w:hAnsi="Times New Roman Bold"/>
        </w:rPr>
      </w:pPr>
    </w:p>
    <w:p w:rsidR="00000000" w:rsidRDefault="008B4224">
      <w:pPr>
        <w:spacing w:before="120" w:after="120"/>
        <w:rPr>
          <w:rFonts w:ascii="Times New Roman" w:hAnsi="Times New Roman"/>
        </w:rPr>
      </w:pPr>
      <w:r>
        <w:rPr>
          <w:rFonts w:ascii="Times New Roman" w:hAnsi="Times New Roman"/>
        </w:rPr>
        <w:t>Dear Chair Leopold and Co</w:t>
      </w:r>
      <w:r>
        <w:rPr>
          <w:rFonts w:ascii="Times New Roman" w:hAnsi="Times New Roman"/>
        </w:rPr>
        <w:t>mmissioners,</w:t>
      </w:r>
    </w:p>
    <w:p w:rsidR="00000000" w:rsidRDefault="008B4224">
      <w:pPr>
        <w:spacing w:before="120" w:after="120"/>
        <w:rPr>
          <w:rFonts w:ascii="Times New Roman" w:hAnsi="Times New Roman"/>
        </w:rPr>
      </w:pPr>
      <w:r>
        <w:rPr>
          <w:rFonts w:ascii="Times New Roman" w:hAnsi="Times New Roman"/>
        </w:rPr>
        <w:t xml:space="preserve">After reviewing the Unified Corridor Investment Study, the Santa Cruz Group of the Sierra Club feels that an amended Scenario B would best meet the environmental and social equity principles of the Sierra Club.  </w:t>
      </w:r>
    </w:p>
    <w:p w:rsidR="00000000" w:rsidRDefault="008B4224">
      <w:pPr>
        <w:spacing w:before="120" w:after="120"/>
        <w:rPr>
          <w:rFonts w:ascii="Times New Roman" w:hAnsi="Times New Roman"/>
        </w:rPr>
      </w:pPr>
      <w:r>
        <w:rPr>
          <w:rFonts w:ascii="Times New Roman" w:hAnsi="Times New Roman"/>
        </w:rPr>
        <w:t xml:space="preserve">Scenario B, amended to remove </w:t>
      </w:r>
      <w:r>
        <w:rPr>
          <w:rFonts w:ascii="Times New Roman" w:hAnsi="Times New Roman"/>
        </w:rPr>
        <w:t xml:space="preserve">the projects that increase auto capacity, prioritizes transit and active transportation.  Scenario B serves the highest number of transit users, and includes a future rail option.  According to national Sierra Club Transportation Policy, “rail systems are </w:t>
      </w:r>
      <w:r>
        <w:rPr>
          <w:rFonts w:ascii="Times New Roman" w:hAnsi="Times New Roman"/>
        </w:rPr>
        <w:t xml:space="preserve">most effective in stimulating compact development patterns, increasing public transit patronage and reducing motor vehicle use.” </w:t>
      </w:r>
      <w:r>
        <w:rPr>
          <w:rFonts w:ascii="Times New Roman" w:hAnsi="Times New Roman"/>
          <w:sz w:val="20"/>
        </w:rPr>
        <w:t>(policy updated 9/2018)</w:t>
      </w:r>
    </w:p>
    <w:p w:rsidR="00000000" w:rsidRDefault="008B4224">
      <w:pPr>
        <w:spacing w:before="120" w:after="120"/>
        <w:rPr>
          <w:rFonts w:ascii="Times New Roman" w:hAnsi="Times New Roman"/>
        </w:rPr>
      </w:pPr>
      <w:r>
        <w:rPr>
          <w:rFonts w:ascii="Times New Roman" w:hAnsi="Times New Roman"/>
        </w:rPr>
        <w:t>We do not support the RTC staff modified “Draft Preferred Scenario,” presented at the RTC’s November 15</w:t>
      </w:r>
      <w:r>
        <w:rPr>
          <w:rFonts w:ascii="Times New Roman" w:hAnsi="Times New Roman"/>
        </w:rPr>
        <w:t>, 2018 meeting, as compared to Scenario B.  Particularly, the Preferred Scenario incorporates more auto-centric projects and drops out Bus Rapid Transit – Lite for the Soquel Ave. – Freedom Blvd. corridor.</w:t>
      </w:r>
    </w:p>
    <w:p w:rsidR="00000000" w:rsidRDefault="008B4224">
      <w:pPr>
        <w:spacing w:before="120" w:after="120"/>
        <w:rPr>
          <w:rFonts w:ascii="Times New Roman" w:hAnsi="Times New Roman"/>
        </w:rPr>
      </w:pPr>
    </w:p>
    <w:p w:rsidR="00000000" w:rsidRDefault="008B4224">
      <w:pPr>
        <w:spacing w:before="120" w:after="120"/>
        <w:rPr>
          <w:rFonts w:ascii="Times New Roman" w:hAnsi="Times New Roman"/>
        </w:rPr>
      </w:pPr>
      <w:r>
        <w:rPr>
          <w:rFonts w:ascii="Times New Roman" w:hAnsi="Times New Roman"/>
        </w:rPr>
        <w:t>While the Sierra Club supports Scenario B over th</w:t>
      </w:r>
      <w:r>
        <w:rPr>
          <w:rFonts w:ascii="Times New Roman" w:hAnsi="Times New Roman"/>
        </w:rPr>
        <w:t>e other scenarios, Scenario B could be enhanced by addressing the following concerns:</w:t>
      </w:r>
    </w:p>
    <w:p w:rsidR="00000000" w:rsidRDefault="008B4224">
      <w:pPr>
        <w:pStyle w:val="ListParagraph"/>
        <w:numPr>
          <w:ilvl w:val="0"/>
          <w:numId w:val="1"/>
        </w:numPr>
        <w:tabs>
          <w:tab w:val="clear" w:pos="360"/>
          <w:tab w:val="num" w:pos="720"/>
        </w:tabs>
        <w:spacing w:before="120" w:after="120"/>
        <w:ind w:left="720" w:hanging="360"/>
        <w:rPr>
          <w:rFonts w:ascii="Times New Roman" w:hAnsi="Times New Roman"/>
        </w:rPr>
      </w:pPr>
      <w:r>
        <w:rPr>
          <w:rFonts w:ascii="Times New Roman" w:hAnsi="Times New Roman"/>
        </w:rPr>
        <w:t>As now called for by the State of California, recognize the potent effects of induced travel, which has been shown to make automobile-oriented capacity projects in conges</w:t>
      </w:r>
      <w:r>
        <w:rPr>
          <w:rFonts w:ascii="Times New Roman" w:hAnsi="Times New Roman"/>
        </w:rPr>
        <w:t>ted corridors self-defeating after not many years.  Don’t sink major resources into auto capacity measures like Highway 1 ramp metering.</w:t>
      </w:r>
    </w:p>
    <w:p w:rsidR="00000000" w:rsidRDefault="008B4224">
      <w:pPr>
        <w:pStyle w:val="ListParagraph"/>
        <w:numPr>
          <w:ilvl w:val="0"/>
          <w:numId w:val="1"/>
        </w:numPr>
        <w:tabs>
          <w:tab w:val="clear" w:pos="360"/>
          <w:tab w:val="num" w:pos="720"/>
        </w:tabs>
        <w:spacing w:before="120" w:after="120"/>
        <w:ind w:left="720" w:hanging="360"/>
        <w:rPr>
          <w:rFonts w:ascii="Times New Roman" w:hAnsi="Times New Roman"/>
        </w:rPr>
      </w:pPr>
      <w:r>
        <w:rPr>
          <w:rFonts w:ascii="Times New Roman" w:hAnsi="Times New Roman"/>
        </w:rPr>
        <w:t>Special attention must be paid to the avoidance and mitigation of environmental impacts during the design phase of tran</w:t>
      </w:r>
      <w:r>
        <w:rPr>
          <w:rFonts w:ascii="Times New Roman" w:hAnsi="Times New Roman"/>
        </w:rPr>
        <w:t>sportation projects. We must do a better job of implementing modern transportation design that protects plants and animals.</w:t>
      </w:r>
    </w:p>
    <w:p w:rsidR="00000000" w:rsidRDefault="008B4224">
      <w:pPr>
        <w:pStyle w:val="ListParagraph"/>
        <w:numPr>
          <w:ilvl w:val="0"/>
          <w:numId w:val="1"/>
        </w:numPr>
        <w:tabs>
          <w:tab w:val="clear" w:pos="360"/>
          <w:tab w:val="num" w:pos="720"/>
        </w:tabs>
        <w:spacing w:before="120" w:after="120"/>
        <w:ind w:left="720" w:hanging="360"/>
        <w:rPr>
          <w:rFonts w:ascii="Times New Roman" w:hAnsi="Times New Roman"/>
        </w:rPr>
      </w:pPr>
      <w:r>
        <w:rPr>
          <w:rFonts w:ascii="Times New Roman" w:hAnsi="Times New Roman"/>
        </w:rPr>
        <w:t xml:space="preserve">Use the environmental review process required by the California Environmental Quality Act (CEQA) to analyze and make better choices </w:t>
      </w:r>
      <w:r>
        <w:rPr>
          <w:rFonts w:ascii="Times New Roman" w:hAnsi="Times New Roman"/>
        </w:rPr>
        <w:t xml:space="preserve">among meaningful project alternatives, including alternate designs for public transportation on the rail corridor.  CEQA is not merely a confirmation process for project decisions already cemented in place. </w:t>
      </w:r>
      <w:r>
        <w:rPr>
          <w:rFonts w:ascii="Times New Roman Bold" w:hAnsi="Times New Roman Bold"/>
          <w:sz w:val="28"/>
        </w:rPr>
        <w:t xml:space="preserve"> </w:t>
      </w:r>
      <w:r>
        <w:rPr>
          <w:rFonts w:ascii="Times New Roman" w:hAnsi="Times New Roman"/>
        </w:rPr>
        <w:t>Accordingly our support of an amended Scenario B</w:t>
      </w:r>
      <w:r>
        <w:rPr>
          <w:rFonts w:ascii="Times New Roman" w:hAnsi="Times New Roman"/>
        </w:rPr>
        <w:t xml:space="preserve"> is not unconditional support for each component.  We need environmental review of each project for informed decision making. </w:t>
      </w:r>
    </w:p>
    <w:p w:rsidR="00000000" w:rsidRDefault="008B4224">
      <w:pPr>
        <w:pStyle w:val="ListParagraph"/>
        <w:numPr>
          <w:ilvl w:val="0"/>
          <w:numId w:val="1"/>
        </w:numPr>
        <w:tabs>
          <w:tab w:val="clear" w:pos="360"/>
          <w:tab w:val="num" w:pos="720"/>
        </w:tabs>
        <w:spacing w:before="120" w:after="120"/>
        <w:ind w:left="720" w:hanging="360"/>
        <w:rPr>
          <w:rFonts w:ascii="Times New Roman" w:hAnsi="Times New Roman"/>
        </w:rPr>
      </w:pPr>
      <w:r>
        <w:rPr>
          <w:rFonts w:ascii="Times New Roman" w:hAnsi="Times New Roman"/>
        </w:rPr>
        <w:t>Continued use of the rail line for transport of goods by freight should be included in an amended Scenario B.  Every freight rail</w:t>
      </w:r>
      <w:r>
        <w:rPr>
          <w:rFonts w:ascii="Times New Roman" w:hAnsi="Times New Roman"/>
        </w:rPr>
        <w:t xml:space="preserve"> car removes three to four trucks from the highway, improving safety for road users and reducing greenhouse gases.</w:t>
      </w:r>
    </w:p>
    <w:p w:rsidR="00000000" w:rsidRDefault="008B4224">
      <w:pPr>
        <w:pStyle w:val="ListParagraph"/>
        <w:numPr>
          <w:ilvl w:val="0"/>
          <w:numId w:val="1"/>
        </w:numPr>
        <w:tabs>
          <w:tab w:val="clear" w:pos="360"/>
          <w:tab w:val="num" w:pos="720"/>
        </w:tabs>
        <w:spacing w:before="120" w:after="120"/>
        <w:ind w:left="720" w:hanging="360"/>
        <w:rPr>
          <w:rFonts w:ascii="Times New Roman" w:hAnsi="Times New Roman"/>
        </w:rPr>
      </w:pPr>
      <w:r>
        <w:rPr>
          <w:rFonts w:ascii="Times New Roman" w:hAnsi="Times New Roman"/>
        </w:rPr>
        <w:lastRenderedPageBreak/>
        <w:t>Increased safety for bicyclists and pedestrians should be the design criterion for any modifications to Mission Street intersections.</w:t>
      </w:r>
    </w:p>
    <w:p w:rsidR="00000000" w:rsidRDefault="008B4224">
      <w:pPr>
        <w:pStyle w:val="ListParagraph"/>
        <w:numPr>
          <w:ilvl w:val="0"/>
          <w:numId w:val="1"/>
        </w:numPr>
        <w:tabs>
          <w:tab w:val="clear" w:pos="360"/>
          <w:tab w:val="num" w:pos="720"/>
        </w:tabs>
        <w:spacing w:before="120" w:after="120"/>
        <w:ind w:left="720" w:hanging="360"/>
        <w:rPr>
          <w:rFonts w:ascii="Times New Roman" w:hAnsi="Times New Roman"/>
        </w:rPr>
      </w:pPr>
      <w:r>
        <w:rPr>
          <w:rFonts w:ascii="Times New Roman" w:hAnsi="Times New Roman"/>
        </w:rPr>
        <w:t>We urge</w:t>
      </w:r>
      <w:r>
        <w:rPr>
          <w:rFonts w:ascii="Times New Roman" w:hAnsi="Times New Roman"/>
        </w:rPr>
        <w:t xml:space="preserve"> future upgrades of public transit modes to all electric as soon as possible. This conversion coupled with the County’s participation in Monterey Bay Community Power will further reduce greenhouse gas emissions.</w:t>
      </w:r>
    </w:p>
    <w:p w:rsidR="00000000" w:rsidRDefault="008B4224">
      <w:pPr>
        <w:spacing w:before="120" w:after="120"/>
        <w:rPr>
          <w:rFonts w:ascii="Times New Roman" w:hAnsi="Times New Roman"/>
        </w:rPr>
      </w:pPr>
    </w:p>
    <w:p w:rsidR="00000000" w:rsidRDefault="008B4224">
      <w:pPr>
        <w:spacing w:before="120" w:after="120"/>
        <w:rPr>
          <w:rFonts w:ascii="Times New Roman" w:hAnsi="Times New Roman"/>
          <w:sz w:val="20"/>
        </w:rPr>
      </w:pPr>
      <w:r>
        <w:rPr>
          <w:rFonts w:ascii="Times New Roman" w:hAnsi="Times New Roman"/>
        </w:rPr>
        <w:t>Transportation is the highest source of CO</w:t>
      </w:r>
      <w:r>
        <w:rPr>
          <w:rFonts w:ascii="Times New Roman" w:hAnsi="Times New Roman"/>
          <w:sz w:val="20"/>
        </w:rPr>
        <w:t>2</w:t>
      </w:r>
      <w:r>
        <w:rPr>
          <w:rFonts w:ascii="Times New Roman" w:hAnsi="Times New Roman"/>
        </w:rPr>
        <w:t xml:space="preserve"> emissions in the United States. As the national Sierra Club Transportation Policy states, transportation strategies must “protect natural systems and open space, reduce vehicle miles traveled, and promote environmental and economic justice and access for </w:t>
      </w:r>
      <w:r>
        <w:rPr>
          <w:rFonts w:ascii="Times New Roman" w:hAnsi="Times New Roman"/>
        </w:rPr>
        <w:t xml:space="preserve">all, including low-income communities and those most impacted by pollution.” </w:t>
      </w:r>
      <w:r>
        <w:rPr>
          <w:rFonts w:ascii="Times New Roman" w:hAnsi="Times New Roman"/>
          <w:sz w:val="20"/>
        </w:rPr>
        <w:t>(policy updated 9/2018)</w:t>
      </w:r>
    </w:p>
    <w:p w:rsidR="00000000" w:rsidRDefault="008B4224">
      <w:pPr>
        <w:spacing w:before="120" w:after="120"/>
        <w:rPr>
          <w:rFonts w:ascii="Times New Roman" w:hAnsi="Times New Roman"/>
        </w:rPr>
      </w:pPr>
      <w:r>
        <w:rPr>
          <w:rFonts w:ascii="Times New Roman" w:hAnsi="Times New Roman"/>
        </w:rPr>
        <w:t>The Sierra Club would welcome working with the RTC and local jurisdictions to increase the environmental gains of Scenario B with more protection for local</w:t>
      </w:r>
      <w:r>
        <w:rPr>
          <w:rFonts w:ascii="Times New Roman" w:hAnsi="Times New Roman"/>
        </w:rPr>
        <w:t xml:space="preserve"> sensitive habitats.</w:t>
      </w:r>
    </w:p>
    <w:p w:rsidR="00000000" w:rsidRDefault="008B4224">
      <w:pPr>
        <w:spacing w:before="120" w:after="120"/>
        <w:rPr>
          <w:rFonts w:ascii="Times New Roman" w:hAnsi="Times New Roman"/>
        </w:rPr>
      </w:pPr>
      <w:r>
        <w:rPr>
          <w:rFonts w:ascii="Times New Roman" w:hAnsi="Times New Roman"/>
        </w:rPr>
        <w:t>Sierra Club policy opposes the building or widening of limited access highways and states that HOV lanes should come from converting existing highway lanes rather than constructing new lanes.</w:t>
      </w:r>
    </w:p>
    <w:p w:rsidR="00000000" w:rsidRDefault="008B4224">
      <w:pPr>
        <w:spacing w:before="120" w:after="120"/>
        <w:rPr>
          <w:rFonts w:ascii="Times New Roman" w:hAnsi="Times New Roman"/>
        </w:rPr>
      </w:pPr>
      <w:r>
        <w:rPr>
          <w:rFonts w:ascii="Times New Roman" w:hAnsi="Times New Roman"/>
        </w:rPr>
        <w:t>When it comes to the environment, an amende</w:t>
      </w:r>
      <w:r>
        <w:rPr>
          <w:rFonts w:ascii="Times New Roman" w:hAnsi="Times New Roman"/>
        </w:rPr>
        <w:t>d Scenario B can be clearly best of the four scenarios analyzed in the Step 2 Analysis. We urge the RTC to support Scenario B with the enhancements we identified above.</w:t>
      </w:r>
    </w:p>
    <w:p w:rsidR="00000000" w:rsidRDefault="008B4224">
      <w:pPr>
        <w:spacing w:before="120" w:after="120"/>
        <w:rPr>
          <w:rFonts w:ascii="Times New Roman" w:hAnsi="Times New Roman"/>
        </w:rPr>
      </w:pPr>
      <w:r>
        <w:rPr>
          <w:rFonts w:ascii="Times New Roman" w:hAnsi="Times New Roman"/>
        </w:rPr>
        <w:t>As you may know, the October 8, 2018 Special Report issued by the Intergovernmental Pan</w:t>
      </w:r>
      <w:r>
        <w:rPr>
          <w:rFonts w:ascii="Times New Roman" w:hAnsi="Times New Roman"/>
        </w:rPr>
        <w:t>el on Climate Change (IPCC) warns us that the time to act to avoid catastrophic climate changes and limit global warming to 1.5ºC is “rapidly closing.” We urge you to make a wise decision on the UCS scenarios sooner rather than later, with climate action a</w:t>
      </w:r>
      <w:r>
        <w:rPr>
          <w:rFonts w:ascii="Times New Roman" w:hAnsi="Times New Roman"/>
        </w:rPr>
        <w:t xml:space="preserve"> guiding concern.</w:t>
      </w:r>
    </w:p>
    <w:p w:rsidR="00000000" w:rsidRDefault="008B4224">
      <w:pPr>
        <w:spacing w:before="120" w:after="120"/>
        <w:rPr>
          <w:rFonts w:ascii="Times New Roman" w:hAnsi="Times New Roman"/>
        </w:rPr>
      </w:pPr>
    </w:p>
    <w:p w:rsidR="00000000" w:rsidRDefault="008B4224">
      <w:pPr>
        <w:spacing w:before="120" w:after="120"/>
        <w:rPr>
          <w:rFonts w:ascii="Times New Roman" w:hAnsi="Times New Roman"/>
        </w:rPr>
      </w:pPr>
      <w:r>
        <w:rPr>
          <w:rFonts w:ascii="Times New Roman" w:hAnsi="Times New Roman"/>
        </w:rPr>
        <w:t>Respectfully submitted,</w:t>
      </w:r>
    </w:p>
    <w:p w:rsidR="00000000" w:rsidRDefault="008B4224">
      <w:pPr>
        <w:spacing w:before="120" w:after="120"/>
        <w:rPr>
          <w:rFonts w:ascii="Times New Roman" w:hAnsi="Times New Roman"/>
        </w:rPr>
      </w:pPr>
    </w:p>
    <w:p w:rsidR="00000000" w:rsidRDefault="008B4224">
      <w:pPr>
        <w:spacing w:before="120" w:after="120"/>
        <w:rPr>
          <w:rFonts w:ascii="Times New Roman" w:hAnsi="Times New Roman"/>
        </w:rPr>
      </w:pPr>
      <w:r>
        <w:rPr>
          <w:rFonts w:ascii="Times New Roman" w:hAnsi="Times New Roman"/>
        </w:rPr>
        <w:t>Gillian Greensite, Chair</w:t>
      </w:r>
      <w:r>
        <w:rPr>
          <w:rFonts w:ascii="Times New Roman" w:hAnsi="Times New Roman"/>
        </w:rPr>
        <w:cr/>
        <w:t>Sierra Club, Santa Cruz Group</w:t>
      </w:r>
    </w:p>
    <w:p w:rsidR="00000000" w:rsidRDefault="008B4224">
      <w:pPr>
        <w:spacing w:before="120" w:after="120"/>
        <w:rPr>
          <w:rFonts w:ascii="Times New Roman" w:hAnsi="Times New Roman"/>
        </w:rPr>
      </w:pPr>
    </w:p>
    <w:p w:rsidR="008B4224" w:rsidRDefault="008B4224">
      <w:pPr>
        <w:spacing w:before="120" w:after="120"/>
        <w:rPr>
          <w:rFonts w:ascii="Times New Roman" w:eastAsia="Times New Roman" w:hAnsi="Times New Roman"/>
          <w:color w:val="auto"/>
          <w:sz w:val="20"/>
          <w:lang w:val="en-US" w:eastAsia="en-US" w:bidi="x-none"/>
        </w:rPr>
      </w:pPr>
      <w:bookmarkStart w:id="1" w:name="GoBack"/>
      <w:bookmarkEnd w:id="1"/>
      <w:r>
        <w:rPr>
          <w:rFonts w:ascii="Times New Roman" w:hAnsi="Times New Roman"/>
          <w:sz w:val="20"/>
        </w:rPr>
        <w:t xml:space="preserve">cc: </w:t>
      </w:r>
      <w:r>
        <w:rPr>
          <w:rFonts w:ascii="Times New Roman" w:hAnsi="Times New Roman"/>
          <w:sz w:val="20"/>
        </w:rPr>
        <w:tab/>
        <w:t>George Dondero, RTC Executive Director</w:t>
      </w:r>
    </w:p>
    <w:sectPr w:rsidR="008B42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224" w:rsidRDefault="008B4224">
      <w:r>
        <w:separator/>
      </w:r>
    </w:p>
  </w:endnote>
  <w:endnote w:type="continuationSeparator" w:id="0">
    <w:p w:rsidR="008B4224" w:rsidRDefault="008B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ystem Font Regular">
    <w:altName w:val="Cambria"/>
    <w:charset w:val="00"/>
    <w:family w:val="roman"/>
    <w:pitch w:val="default"/>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B4224">
    <w:pPr>
      <w:pStyle w:val="footer"/>
      <w:rPr>
        <w:rFonts w:ascii="Times New Roman" w:eastAsia="Times New Roman" w:hAnsi="Times New Roman"/>
        <w:color w:val="auto"/>
        <w:sz w:val="20"/>
        <w:lang w:val="en-US" w:eastAsia="en-US"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B4224">
    <w:pPr>
      <w:pStyle w:val="footer"/>
      <w:rPr>
        <w:rFonts w:ascii="Times New Roman" w:eastAsia="Times New Roman" w:hAnsi="Times New Roman"/>
        <w:color w:val="auto"/>
        <w:sz w:val="20"/>
        <w:lang w:val="en-US" w:eastAsia="en-US"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224" w:rsidRDefault="008B4224">
      <w:r>
        <w:separator/>
      </w:r>
    </w:p>
  </w:footnote>
  <w:footnote w:type="continuationSeparator" w:id="0">
    <w:p w:rsidR="008B4224" w:rsidRDefault="008B4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B4224">
    <w:pPr>
      <w:pStyle w:val="header"/>
      <w:rPr>
        <w:rFonts w:ascii="Times New Roman" w:eastAsia="Times New Roman" w:hAnsi="Times New Roman"/>
        <w:color w:val="auto"/>
        <w:sz w:val="20"/>
        <w:lang w:val="en-US" w:eastAsia="en-US" w:bidi="x-none"/>
      </w:rPr>
    </w:pPr>
    <w:r>
      <w:br/>
    </w:r>
    <w:r>
      <w:rPr>
        <w:noProof/>
        <w:lang w:val="en-US" w:eastAsia="en-US"/>
      </w:rPr>
      <w:pict>
        <v:rect id="_x0000_s2050" style="position:absolute;margin-left:60.3pt;margin-top:325.65pt;width:482.9pt;height:165pt;rotation:-45;z-index:-2;mso-position-horizontal:absolute;mso-position-horizontal-relative:page;mso-position-vertical:absolute;mso-position-vertical-relative:page" coordsize="21600,21600" filled="f" stroked="f" strokeweight="1pt">
          <v:fill o:detectmouseclick="t"/>
          <v:stroke joinstyle="round" endcap="round"/>
          <v:path arrowok="t" o:connectlocs="10800,10800"/>
          <v:textbox inset="0,0,0,0">
            <w:txbxContent>
              <w:p w:rsidR="00000000" w:rsidRDefault="008B4224">
                <w:pPr>
                  <w:pStyle w:val="FreeForm"/>
                  <w:tabs>
                    <w:tab w:val="left" w:pos="1440"/>
                    <w:tab w:val="left" w:pos="2880"/>
                    <w:tab w:val="left" w:pos="4320"/>
                    <w:tab w:val="left" w:pos="5760"/>
                    <w:tab w:val="left" w:pos="7200"/>
                    <w:tab w:val="left" w:pos="8640"/>
                  </w:tabs>
                  <w:rPr>
                    <w:rFonts w:eastAsia="Times New Roman"/>
                    <w:color w:val="auto"/>
                    <w:lang w:val="en-US" w:eastAsia="en-US" w:bidi="x-none"/>
                  </w:rPr>
                </w:pPr>
                <w:r>
                  <w:rPr>
                    <w:color w:val="C0C0C0"/>
                    <w:sz w:val="294"/>
                    <w:u w:color="C0C0C0"/>
                  </w:rPr>
                  <w:t>DRAFT</w:t>
                </w:r>
              </w:p>
            </w:txbxContent>
          </v:textbox>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B4224">
    <w:pPr>
      <w:pStyle w:val="header"/>
      <w:rPr>
        <w:rFonts w:ascii="Times New Roman" w:eastAsia="Times New Roman" w:hAnsi="Times New Roman"/>
        <w:color w:val="auto"/>
        <w:sz w:val="20"/>
        <w:lang w:val="en-US" w:eastAsia="en-US" w:bidi="x-none"/>
      </w:rPr>
    </w:pPr>
    <w:r>
      <w:br/>
    </w:r>
    <w:r>
      <w:rPr>
        <w:noProof/>
        <w:lang w:val="en-US" w:eastAsia="en-US"/>
      </w:rPr>
      <w:pict>
        <v:rect id="_x0000_s2049" style="position:absolute;margin-left:60.3pt;margin-top:325.65pt;width:482.9pt;height:165pt;rotation:-45;z-index:-3;mso-position-horizontal:absolute;mso-position-horizontal-relative:page;mso-position-vertical:absolute;mso-position-vertical-relative:page" coordsize="21600,21600" filled="f" stroked="f" strokeweight="1pt">
          <v:fill o:detectmouseclick="t"/>
          <v:stroke joinstyle="round" endcap="round"/>
          <v:path arrowok="t" o:connectlocs="10800,10800"/>
          <v:textbox inset="0,0,0,0">
            <w:txbxContent>
              <w:p w:rsidR="00000000" w:rsidRDefault="008B4224">
                <w:pPr>
                  <w:pStyle w:val="FreeForm"/>
                  <w:tabs>
                    <w:tab w:val="left" w:pos="1440"/>
                    <w:tab w:val="left" w:pos="2880"/>
                    <w:tab w:val="left" w:pos="4320"/>
                    <w:tab w:val="left" w:pos="5760"/>
                    <w:tab w:val="left" w:pos="7200"/>
                    <w:tab w:val="left" w:pos="8640"/>
                  </w:tabs>
                  <w:rPr>
                    <w:rFonts w:eastAsia="Times New Roman"/>
                    <w:color w:val="auto"/>
                    <w:lang w:val="en-US" w:eastAsia="en-US" w:bidi="x-none"/>
                  </w:rPr>
                </w:pPr>
                <w:r>
                  <w:rPr>
                    <w:color w:val="C0C0C0"/>
                    <w:sz w:val="294"/>
                    <w:u w:color="C0C0C0"/>
                  </w:rPr>
                  <w:t>DRAFT</w:t>
                </w:r>
              </w:p>
            </w:txbxContent>
          </v:textbox>
          <w10:wrap anchorx="page" anchory="page"/>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B4224">
    <w:pPr>
      <w:pStyle w:val="header"/>
      <w:rPr>
        <w:rFonts w:ascii="Times New Roman" w:eastAsia="Times New Roman" w:hAnsi="Times New Roman"/>
        <w:color w:val="auto"/>
        <w:sz w:val="20"/>
        <w:lang w:val="en-US" w:eastAsia="en-US" w:bidi="x-none"/>
      </w:rPr>
    </w:pPr>
    <w:r>
      <w:br/>
    </w:r>
    <w:r>
      <w:rPr>
        <w:noProof/>
        <w:lang w:val="en-US" w:eastAsia="en-US"/>
      </w:rPr>
      <w:pict>
        <v:rect id="_x0000_s2051" style="position:absolute;margin-left:60.3pt;margin-top:325.65pt;width:482.9pt;height:165pt;rotation:-45;z-index:-1;mso-position-horizontal:absolute;mso-position-horizontal-relative:page;mso-position-vertical:absolute;mso-position-vertical-relative:page" coordsize="21600,21600" filled="f" stroked="f" strokeweight="1pt">
          <v:fill o:detectmouseclick="t"/>
          <v:stroke joinstyle="round" endcap="round"/>
          <v:path arrowok="t" o:connectlocs="10800,10800"/>
          <v:textbox inset="0,0,0,0">
            <w:txbxContent>
              <w:p w:rsidR="00000000" w:rsidRDefault="008B4224">
                <w:pPr>
                  <w:pStyle w:val="FreeForm"/>
                  <w:tabs>
                    <w:tab w:val="left" w:pos="1440"/>
                    <w:tab w:val="left" w:pos="2880"/>
                    <w:tab w:val="left" w:pos="4320"/>
                    <w:tab w:val="left" w:pos="5760"/>
                    <w:tab w:val="left" w:pos="7200"/>
                    <w:tab w:val="left" w:pos="8640"/>
                  </w:tabs>
                  <w:rPr>
                    <w:rFonts w:eastAsia="Times New Roman"/>
                    <w:color w:val="auto"/>
                    <w:lang w:val="en-US" w:eastAsia="en-US" w:bidi="x-none"/>
                  </w:rPr>
                </w:pPr>
                <w:r>
                  <w:rPr>
                    <w:color w:val="C0C0C0"/>
                    <w:sz w:val="294"/>
                    <w:u w:color="C0C0C0"/>
                  </w:rPr>
                  <w:t>DRAFT</w:t>
                </w:r>
              </w:p>
            </w:txbxContent>
          </v:textbox>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insDel="0" w:formatting="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14CC"/>
    <w:rsid w:val="005114CC"/>
    <w:rsid w:val="008B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5:chartTrackingRefBased/>
  <w15:docId w15:val="{DAE545DB-01AF-4767-9E27-041820D7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eastAsia="ヒラギノ角ゴ Pro W3" w:hAnsi="Times"/>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
    <w:name w:val="header"/>
    <w:pPr>
      <w:tabs>
        <w:tab w:val="center" w:pos="4320"/>
        <w:tab w:val="right" w:pos="8640"/>
      </w:tabs>
    </w:pPr>
    <w:rPr>
      <w:rFonts w:ascii="Times" w:eastAsia="ヒラギノ角ゴ Pro W3" w:hAnsi="Times"/>
      <w:color w:val="000000"/>
      <w:sz w:val="24"/>
    </w:rPr>
  </w:style>
  <w:style w:type="paragraph" w:customStyle="1" w:styleId="footer">
    <w:name w:val="footer"/>
    <w:pPr>
      <w:tabs>
        <w:tab w:val="center" w:pos="4320"/>
        <w:tab w:val="right" w:pos="8640"/>
      </w:tabs>
    </w:pPr>
    <w:rPr>
      <w:rFonts w:ascii="Times" w:eastAsia="ヒラギノ角ゴ Pro W3" w:hAnsi="Times"/>
      <w:color w:val="000000"/>
      <w:sz w:val="24"/>
    </w:rPr>
  </w:style>
  <w:style w:type="paragraph" w:styleId="ListParagraph">
    <w:name w:val="List Paragraph"/>
    <w:qFormat/>
    <w:pPr>
      <w:ind w:left="720"/>
    </w:pPr>
    <w:rPr>
      <w:rFonts w:ascii="System Font Regular" w:eastAsia="ヒラギノ角ゴ Pro W3" w:hAnsi="System Font Regular"/>
      <w:color w:val="000000"/>
      <w:sz w:val="24"/>
    </w:rPr>
  </w:style>
  <w:style w:type="paragraph" w:customStyle="1" w:styleId="FreeForm">
    <w:name w:val="Free Form"/>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Hirst</dc:creator>
  <cp:keywords/>
  <cp:lastModifiedBy>Steve Bakaley</cp:lastModifiedBy>
  <cp:revision>2</cp:revision>
  <dcterms:created xsi:type="dcterms:W3CDTF">2018-11-27T05:10:00Z</dcterms:created>
  <dcterms:modified xsi:type="dcterms:W3CDTF">2018-11-27T05:10:00Z</dcterms:modified>
</cp:coreProperties>
</file>